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b/>
          <w:b/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</w:rPr>
        <w:t>WOJEWÓDZTWO MAZOWIECKIE</w:t>
      </w:r>
    </w:p>
    <w:tbl>
      <w:tblPr>
        <w:tblStyle w:val="Tabela-Siatka"/>
        <w:tblW w:w="906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/>
            <w:shd w:color="auto" w:fill="FF0000" w:val="clear"/>
            <w:tcMar>
              <w:left w:w="108" w:type="dxa"/>
            </w:tcMar>
          </w:tcPr>
          <w:p>
            <w:pPr>
              <w:pStyle w:val="Normal"/>
              <w:tabs>
                <w:tab w:val="left" w:pos="1110" w:leader="none"/>
                <w:tab w:val="center" w:pos="2157" w:leader="none"/>
              </w:tabs>
              <w:spacing w:lineRule="auto" w:line="259" w:before="0" w:after="0"/>
              <w:rPr>
                <w:rFonts w:ascii="Times New Roman" w:hAnsi="Times New Roman" w:eastAsia="Calibri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  <w:t>POZIOM 3</w:t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Calibri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  <w:t xml:space="preserve">Powiadomienie o ryzyku wystąpienia przekroczenia </w:t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Calibri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  <w:t>poziomu alarmowego dla pyłu zawieszonego PM10 w powietrzu</w:t>
            </w:r>
          </w:p>
          <w:p>
            <w:pPr>
              <w:pStyle w:val="Normal"/>
              <w:tabs>
                <w:tab w:val="left" w:pos="1110" w:leader="none"/>
                <w:tab w:val="center" w:pos="2157" w:leader="none"/>
              </w:tabs>
              <w:spacing w:lineRule="auto" w:line="259" w:before="0" w:after="0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b/>
          <w:b/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</w:rPr>
      </w:r>
    </w:p>
    <w:tbl>
      <w:tblPr>
        <w:tblStyle w:val="Tabela-Siatka1"/>
        <w:tblW w:w="9042" w:type="dxa"/>
        <w:jc w:val="left"/>
        <w:tblInd w:w="0" w:type="dxa"/>
        <w:tblCellMar>
          <w:top w:w="0" w:type="dxa"/>
          <w:left w:w="107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224"/>
        <w:gridCol w:w="4817"/>
      </w:tblGrid>
      <w:tr>
        <w:trPr>
          <w:trHeight w:val="574" w:hRule="atLeast"/>
        </w:trPr>
        <w:tc>
          <w:tcPr>
            <w:tcW w:w="9041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6" w:space="0" w:color="00000A"/>
              <w:insideH w:val="single" w:sz="12" w:space="0" w:color="00000A"/>
              <w:insideV w:val="single" w:sz="6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</w:rPr>
              <w:t>INFORMACJE O RYZYKU PRZEKROCZENIA POZIOMU ALARMOWEGO</w:t>
            </w:r>
          </w:p>
        </w:tc>
      </w:tr>
      <w:tr>
        <w:trPr/>
        <w:tc>
          <w:tcPr>
            <w:tcW w:w="4224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</w:rPr>
              <w:t>Zagrożenie</w:t>
            </w:r>
          </w:p>
        </w:tc>
        <w:tc>
          <w:tcPr>
            <w:tcW w:w="4817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  <w:insideH w:val="single" w:sz="6" w:space="0" w:color="00000A"/>
              <w:insideV w:val="single" w:sz="12" w:space="0" w:color="00000A"/>
            </w:tcBorders>
            <w:shd w:color="auto" w:fill="auto" w:val="clear"/>
            <w:tcMar>
              <w:left w:w="114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Ryzyko wystąpienia przekroczenia poziomu alarmowego – 150 µg/m</w:t>
            </w:r>
            <w:r>
              <w:rPr>
                <w:rFonts w:eastAsia="Calibri" w:cs="Times New Roman" w:ascii="Times New Roman" w:hAnsi="Times New Roman"/>
                <w:sz w:val="24"/>
                <w:szCs w:val="24"/>
                <w:vertAlign w:val="superscript"/>
              </w:rPr>
              <w:t xml:space="preserve">3 </w:t>
            </w: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dla pyłu zawieszonego PM10 w powietrzu.</w:t>
            </w:r>
          </w:p>
        </w:tc>
      </w:tr>
      <w:tr>
        <w:trPr/>
        <w:tc>
          <w:tcPr>
            <w:tcW w:w="422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</w:rPr>
              <w:t>Data wystąpienia</w:t>
            </w:r>
          </w:p>
        </w:tc>
        <w:tc>
          <w:tcPr>
            <w:tcW w:w="48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  <w:insideH w:val="single" w:sz="6" w:space="0" w:color="00000A"/>
              <w:insideV w:val="single" w:sz="12" w:space="0" w:color="00000A"/>
            </w:tcBorders>
            <w:shd w:color="auto" w:fill="auto" w:val="clear"/>
            <w:tcMar>
              <w:left w:w="114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i/>
                <w:i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i/>
                <w:sz w:val="24"/>
                <w:szCs w:val="24"/>
              </w:rPr>
              <w:t>18.01.2021 r. godz. 9.00</w:t>
            </w:r>
          </w:p>
        </w:tc>
      </w:tr>
      <w:tr>
        <w:trPr/>
        <w:tc>
          <w:tcPr>
            <w:tcW w:w="422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</w:rPr>
              <w:t>Przewidywany czas trwania ryzyka</w:t>
            </w:r>
          </w:p>
        </w:tc>
        <w:tc>
          <w:tcPr>
            <w:tcW w:w="48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  <w:insideH w:val="single" w:sz="6" w:space="0" w:color="00000A"/>
              <w:insideV w:val="single" w:sz="12" w:space="0" w:color="00000A"/>
            </w:tcBorders>
            <w:shd w:color="auto" w:fill="auto" w:val="clear"/>
            <w:tcMar>
              <w:left w:w="114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i/>
                <w:i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i/>
                <w:sz w:val="24"/>
                <w:szCs w:val="24"/>
              </w:rPr>
              <w:t>Od godz. 9.00 dnia 18.01.2021 r. do godz. 24.00 dnia  18.01.2021 r</w:t>
            </w:r>
          </w:p>
        </w:tc>
      </w:tr>
      <w:tr>
        <w:trPr/>
        <w:tc>
          <w:tcPr>
            <w:tcW w:w="4224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6" w:space="0" w:color="00000A"/>
              <w:insideH w:val="single" w:sz="12" w:space="0" w:color="00000A"/>
              <w:insideV w:val="single" w:sz="6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</w:rPr>
              <w:t xml:space="preserve">Przyczyny </w:t>
            </w:r>
          </w:p>
        </w:tc>
        <w:tc>
          <w:tcPr>
            <w:tcW w:w="48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  <w:insideH w:val="single" w:sz="6" w:space="0" w:color="00000A"/>
              <w:insideV w:val="single" w:sz="12" w:space="0" w:color="00000A"/>
            </w:tcBorders>
            <w:shd w:color="auto" w:fill="auto" w:val="clear"/>
            <w:tcMar>
              <w:left w:w="114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i/>
                <w:sz w:val="24"/>
                <w:szCs w:val="24"/>
              </w:rPr>
              <w:t>Warunki meteorologiczne utrudniające rozprzestrzenianie się zanieczyszczeń w sytuacji wzmożonej emisji z sektora bytowo-komunalnego i wzmożonego ruchu samochodów.</w:t>
            </w:r>
          </w:p>
        </w:tc>
      </w:tr>
      <w:tr>
        <w:trPr/>
        <w:tc>
          <w:tcPr>
            <w:tcW w:w="9041" w:type="dxa"/>
            <w:gridSpan w:val="2"/>
            <w:tcBorders>
              <w:top w:val="nil"/>
              <w:left w:val="single" w:sz="12" w:space="0" w:color="00000A"/>
              <w:bottom w:val="nil"/>
              <w:right w:val="single" w:sz="6" w:space="0" w:color="00000A"/>
              <w:insideH w:val="nil"/>
              <w:insideV w:val="single" w:sz="6" w:space="0" w:color="00000A"/>
            </w:tcBorders>
            <w:shd w:color="auto" w:fill="FF0000" w:val="clear"/>
            <w:tcMar>
              <w:left w:w="107" w:type="dxa"/>
            </w:tcMar>
            <w:vAlign w:val="center"/>
          </w:tcPr>
          <w:p>
            <w:pPr>
              <w:pStyle w:val="Normal"/>
              <w:spacing w:lineRule="auto" w:line="259" w:before="0" w:after="0"/>
              <w:jc w:val="both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</w:rPr>
              <w:t>Obszar ryzyka wystąpienia przekroczenia poziomu alarmowego dla pyłu zawieszonego PM10</w:t>
            </w:r>
          </w:p>
          <w:p>
            <w:pPr>
              <w:pStyle w:val="Normal"/>
              <w:spacing w:lineRule="auto" w:line="259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Prognozowane na dzień </w:t>
            </w:r>
            <w:r>
              <w:rPr>
                <w:rFonts w:eastAsia="Calibri" w:cs="Times New Roman" w:ascii="Times New Roman" w:hAnsi="Times New Roman"/>
                <w:i/>
                <w:sz w:val="24"/>
                <w:szCs w:val="24"/>
              </w:rPr>
              <w:t>18.01.2021 r.</w:t>
            </w: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 przekroczenie poziomu alarmowego dla pyłu zawieszonego PM10 obejmuje powiaty: otwocki, legionowski i wołomiński (na podstawie pomiarów ze stacji w Legionowie ul. Zegrzyńska i Otwocku ul. Brzozowa).</w:t>
            </w:r>
          </w:p>
        </w:tc>
      </w:tr>
      <w:tr>
        <w:trPr/>
        <w:tc>
          <w:tcPr>
            <w:tcW w:w="9041" w:type="dxa"/>
            <w:gridSpan w:val="2"/>
            <w:tcBorders>
              <w:top w:val="nil"/>
              <w:left w:val="single" w:sz="12" w:space="0" w:color="00000A"/>
              <w:bottom w:val="nil"/>
              <w:right w:val="single" w:sz="6" w:space="0" w:color="00000A"/>
              <w:insideH w:val="nil"/>
              <w:insideV w:val="single" w:sz="6" w:space="0" w:color="00000A"/>
            </w:tcBorders>
            <w:shd w:color="auto" w:fill="FFFFFF" w:themeFill="background1" w:val="clear"/>
            <w:tcMar>
              <w:left w:w="107" w:type="dxa"/>
            </w:tcMar>
            <w:vAlign w:val="center"/>
          </w:tcPr>
          <w:p>
            <w:pPr>
              <w:pStyle w:val="Normal"/>
              <w:spacing w:lineRule="auto" w:line="259" w:before="0" w:after="0"/>
              <w:jc w:val="both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</w:rPr>
              <w:t>Ludność narażona na ryzyko wystąpienia przekroczenia poziomu alarmowego dla pyłu zawieszonego PM10</w:t>
            </w:r>
          </w:p>
          <w:p>
            <w:pPr>
              <w:pStyle w:val="Normal"/>
              <w:spacing w:lineRule="auto" w:line="259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Ludność zamieszkująca obszar, na którym w dniu </w:t>
            </w:r>
            <w:r>
              <w:rPr>
                <w:rFonts w:eastAsia="Calibri" w:cs="Times New Roman" w:ascii="Times New Roman" w:hAnsi="Times New Roman"/>
                <w:i/>
                <w:sz w:val="24"/>
                <w:szCs w:val="24"/>
              </w:rPr>
              <w:t>18.01.2021 r.</w:t>
            </w: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 istnieje ryzyko przekroczenia poziomu alarmowego dla pyłu zawieszonego PM10</w:t>
            </w:r>
            <w:r>
              <w:rPr>
                <w:rFonts w:eastAsia="Calibri" w:cs="Times New Roman" w:ascii="Times New Roman" w:hAnsi="Times New Roman"/>
                <w:i/>
                <w:sz w:val="24"/>
                <w:szCs w:val="24"/>
              </w:rPr>
              <w:t xml:space="preserve">: </w:t>
            </w: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około 495 000.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</w:r>
    </w:p>
    <w:tbl>
      <w:tblPr>
        <w:tblStyle w:val="Tabela-Siatka"/>
        <w:tblW w:w="9042" w:type="dxa"/>
        <w:jc w:val="left"/>
        <w:tblInd w:w="0" w:type="dxa"/>
        <w:tblCellMar>
          <w:top w:w="0" w:type="dxa"/>
          <w:left w:w="102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356"/>
        <w:gridCol w:w="6685"/>
      </w:tblGrid>
      <w:tr>
        <w:trPr>
          <w:trHeight w:val="586" w:hRule="atLeast"/>
        </w:trPr>
        <w:tc>
          <w:tcPr>
            <w:tcW w:w="9041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color="auto" w:fill="auto" w:val="clear"/>
            <w:tcMar>
              <w:left w:w="102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</w:rPr>
              <w:t>INFORMACJE O ZAGROŻENIU</w:t>
            </w:r>
          </w:p>
        </w:tc>
      </w:tr>
      <w:tr>
        <w:trPr/>
        <w:tc>
          <w:tcPr>
            <w:tcW w:w="2356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102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</w:rPr>
              <w:t>Wrażliwe grupy ludności</w:t>
            </w:r>
          </w:p>
        </w:tc>
        <w:tc>
          <w:tcPr>
            <w:tcW w:w="668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  <w:insideH w:val="single" w:sz="6" w:space="0" w:color="00000A"/>
              <w:insideV w:val="single" w:sz="12" w:space="0" w:color="00000A"/>
            </w:tcBorders>
            <w:shd w:color="auto" w:fill="auto" w:val="clear"/>
            <w:tcMar>
              <w:left w:w="109" w:type="dxa"/>
            </w:tcMar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right" w:pos="284" w:leader="none"/>
              </w:tabs>
              <w:suppressAutoHyphens w:val="true"/>
              <w:spacing w:lineRule="auto" w:line="240" w:before="0" w:after="0"/>
              <w:contextualSpacing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osoby cierpiące z powodu przewlekłych chorób serca (zwłaszcza niewydolność serca, choroba wieńcowa), 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right" w:pos="284" w:leader="none"/>
              </w:tabs>
              <w:suppressAutoHyphens w:val="true"/>
              <w:spacing w:lineRule="auto" w:line="240" w:before="0" w:after="0"/>
              <w:contextualSpacing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osoby cierpiące z powodu przewlekłych chorób układu oddechowego (np. astma, przewlekła obturacyjna choroba płuc), 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right" w:pos="284" w:leader="none"/>
              </w:tabs>
              <w:suppressAutoHyphens w:val="true"/>
              <w:spacing w:lineRule="auto" w:line="240" w:before="0" w:after="0"/>
              <w:contextualSpacing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osoby starsze, kobiety w ciąży oraz małe dzieci,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right" w:pos="284" w:leader="none"/>
              </w:tabs>
              <w:suppressAutoHyphens w:val="true"/>
              <w:spacing w:lineRule="auto" w:line="240" w:before="0" w:after="0"/>
              <w:contextualSpacing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osoby z rozpoznaną chorobą nowotworową oraz ozdrowieńcy.</w:t>
            </w:r>
          </w:p>
        </w:tc>
      </w:tr>
      <w:tr>
        <w:trPr/>
        <w:tc>
          <w:tcPr>
            <w:tcW w:w="235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102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</w:rPr>
              <w:t>Możliwe negatywne skutki dla zdrowia</w:t>
            </w:r>
          </w:p>
        </w:tc>
        <w:tc>
          <w:tcPr>
            <w:tcW w:w="6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  <w:insideH w:val="single" w:sz="6" w:space="0" w:color="00000A"/>
              <w:insideV w:val="single" w:sz="12" w:space="0" w:color="00000A"/>
            </w:tcBorders>
            <w:shd w:color="auto" w:fill="auto" w:val="clear"/>
            <w:tcMar>
              <w:left w:w="109" w:type="dxa"/>
            </w:tcMar>
            <w:vAlign w:val="center"/>
          </w:tcPr>
          <w:p>
            <w:pPr>
              <w:pStyle w:val="Normal"/>
              <w:tabs>
                <w:tab w:val="right" w:pos="284" w:leader="none"/>
              </w:tabs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Osoby cierpiące z powodu chorób serca mogą odczuwać pogorszenie samopoczucia np. uczucie bólu w klatce piersiowej, brak tchu, znużenie. </w:t>
            </w:r>
          </w:p>
          <w:p>
            <w:pPr>
              <w:pStyle w:val="Normal"/>
              <w:tabs>
                <w:tab w:val="right" w:pos="284" w:leader="none"/>
              </w:tabs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Osoby cierpiące z powodu przewlekłych chorób układu oddechowego mogą odczuwać przejściowe nasilenie dolegliwości, w tym kaszel, dyskomfort w klatce piersiowej, nasilenie się objawów ataków astmy.</w:t>
            </w:r>
          </w:p>
          <w:p>
            <w:pPr>
              <w:pStyle w:val="Normal"/>
              <w:tabs>
                <w:tab w:val="right" w:pos="284" w:leader="none"/>
              </w:tabs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Podobne objawy mogą wystąpić również u osób zdrowych. W okresach wysokich stężeń pyłu zawieszonego w powietrzu zwiększa się ryzyko infekcji dróg oddechowych. </w:t>
            </w:r>
          </w:p>
        </w:tc>
      </w:tr>
      <w:tr>
        <w:trPr/>
        <w:tc>
          <w:tcPr>
            <w:tcW w:w="2356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6" w:space="0" w:color="00000A"/>
              <w:insideH w:val="single" w:sz="12" w:space="0" w:color="00000A"/>
              <w:insideV w:val="single" w:sz="6" w:space="0" w:color="00000A"/>
            </w:tcBorders>
            <w:shd w:color="auto" w:fill="auto" w:val="clear"/>
            <w:tcMar>
              <w:left w:w="102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</w:rPr>
              <w:t xml:space="preserve">Zalecane środki ostrożności </w:t>
            </w:r>
          </w:p>
        </w:tc>
        <w:tc>
          <w:tcPr>
            <w:tcW w:w="6685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color="auto" w:fill="auto" w:val="clear"/>
            <w:tcMar>
              <w:left w:w="109" w:type="dxa"/>
            </w:tcMar>
            <w:vAlign w:val="center"/>
          </w:tcPr>
          <w:p>
            <w:pPr>
              <w:pStyle w:val="Normal"/>
              <w:widowControl w:val="false"/>
              <w:tabs>
                <w:tab w:val="right" w:pos="284" w:leader="none"/>
              </w:tabs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  <w:u w:val="single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u w:val="single"/>
              </w:rPr>
              <w:t>Ogół ludności:</w:t>
            </w:r>
          </w:p>
          <w:p>
            <w:pPr>
              <w:pStyle w:val="ListParagraph"/>
              <w:widowControl w:val="false"/>
              <w:numPr>
                <w:ilvl w:val="0"/>
                <w:numId w:val="6"/>
              </w:numPr>
              <w:tabs>
                <w:tab w:val="right" w:pos="73" w:leader="none"/>
              </w:tabs>
              <w:suppressAutoHyphens w:val="true"/>
              <w:spacing w:lineRule="auto" w:line="240" w:before="0" w:after="0"/>
              <w:ind w:left="214" w:hanging="141"/>
              <w:contextualSpacing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unikaj intensywnego wysiłku fizycznego na zewnątrz, </w:t>
            </w:r>
          </w:p>
          <w:p>
            <w:pPr>
              <w:pStyle w:val="ListParagraph"/>
              <w:widowControl w:val="false"/>
              <w:numPr>
                <w:ilvl w:val="0"/>
                <w:numId w:val="6"/>
              </w:numPr>
              <w:tabs>
                <w:tab w:val="right" w:pos="73" w:leader="none"/>
              </w:tabs>
              <w:suppressAutoHyphens w:val="true"/>
              <w:spacing w:lineRule="auto" w:line="240" w:before="0" w:after="0"/>
              <w:ind w:left="214" w:hanging="141"/>
              <w:contextualSpacing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nie wietrz pomieszczeń, </w:t>
            </w:r>
          </w:p>
          <w:p>
            <w:pPr>
              <w:pStyle w:val="ListParagraph"/>
              <w:widowControl w:val="false"/>
              <w:numPr>
                <w:ilvl w:val="0"/>
                <w:numId w:val="6"/>
              </w:numPr>
              <w:tabs>
                <w:tab w:val="right" w:pos="73" w:leader="none"/>
                <w:tab w:val="right" w:pos="214" w:leader="none"/>
              </w:tabs>
              <w:suppressAutoHyphens w:val="true"/>
              <w:spacing w:lineRule="auto" w:line="240" w:before="0" w:after="0"/>
              <w:ind w:left="214" w:hanging="141"/>
              <w:contextualSpacing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nie zwiększaj zanieczyszczenia powietrza, np. nie pal w kominku, piecyku kominkowym, piecyku ozdobnym.</w:t>
            </w:r>
          </w:p>
          <w:p>
            <w:pPr>
              <w:pStyle w:val="Normal"/>
              <w:widowControl w:val="false"/>
              <w:tabs>
                <w:tab w:val="right" w:pos="284" w:leader="none"/>
              </w:tabs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  <w:u w:val="single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u w:val="single"/>
              </w:rPr>
            </w:r>
          </w:p>
          <w:p>
            <w:pPr>
              <w:pStyle w:val="Normal"/>
              <w:widowControl w:val="false"/>
              <w:tabs>
                <w:tab w:val="right" w:pos="284" w:leader="none"/>
              </w:tabs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  <w:u w:val="single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u w:val="single"/>
              </w:rPr>
              <w:t>Wrażliwe grupy ludności:</w:t>
            </w:r>
          </w:p>
          <w:p>
            <w:pPr>
              <w:pStyle w:val="ListParagraph"/>
              <w:widowControl w:val="false"/>
              <w:numPr>
                <w:ilvl w:val="0"/>
                <w:numId w:val="5"/>
              </w:numPr>
              <w:tabs>
                <w:tab w:val="right" w:pos="73" w:leader="none"/>
              </w:tabs>
              <w:suppressAutoHyphens w:val="true"/>
              <w:spacing w:lineRule="auto" w:line="240" w:before="0" w:after="0"/>
              <w:ind w:left="214" w:hanging="214"/>
              <w:contextualSpacing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nie wychodź z domu (w miarę możliwości),</w:t>
            </w:r>
          </w:p>
          <w:p>
            <w:pPr>
              <w:pStyle w:val="ListParagraph"/>
              <w:widowControl w:val="false"/>
              <w:numPr>
                <w:ilvl w:val="0"/>
                <w:numId w:val="5"/>
              </w:numPr>
              <w:tabs>
                <w:tab w:val="right" w:pos="73" w:leader="none"/>
                <w:tab w:val="right" w:pos="214" w:leader="none"/>
              </w:tabs>
              <w:suppressAutoHyphens w:val="true"/>
              <w:spacing w:lineRule="auto" w:line="240" w:before="0" w:after="0"/>
              <w:ind w:left="214" w:hanging="214"/>
              <w:contextualSpacing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nie zapominaj o normalnie przyjmowanych lekach, </w:t>
            </w:r>
          </w:p>
          <w:p>
            <w:pPr>
              <w:pStyle w:val="ListParagraph"/>
              <w:widowControl w:val="false"/>
              <w:numPr>
                <w:ilvl w:val="0"/>
                <w:numId w:val="5"/>
              </w:numPr>
              <w:tabs>
                <w:tab w:val="right" w:pos="73" w:leader="none"/>
                <w:tab w:val="right" w:pos="214" w:leader="none"/>
              </w:tabs>
              <w:suppressAutoHyphens w:val="true"/>
              <w:spacing w:lineRule="auto" w:line="240" w:before="0" w:after="0"/>
              <w:ind w:left="214" w:hanging="214"/>
              <w:contextualSpacing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osoby z astmą mogą częściej odczuwać objawy (duszność, kaszel, świsty) i potrzebować swoich leków częściej niż normalnie,</w:t>
            </w:r>
          </w:p>
          <w:p>
            <w:pPr>
              <w:pStyle w:val="ListParagraph"/>
              <w:widowControl w:val="false"/>
              <w:numPr>
                <w:ilvl w:val="0"/>
                <w:numId w:val="5"/>
              </w:numPr>
              <w:tabs>
                <w:tab w:val="right" w:pos="73" w:leader="none"/>
                <w:tab w:val="right" w:pos="214" w:leader="none"/>
              </w:tabs>
              <w:suppressAutoHyphens w:val="true"/>
              <w:spacing w:lineRule="auto" w:line="240" w:before="0" w:after="0"/>
              <w:ind w:left="214" w:hanging="214"/>
              <w:contextualSpacing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zakaz przebywania dzieci i osób starszych na otwartej przestrzeni w czasie przebywania w placówce</w:t>
            </w:r>
          </w:p>
          <w:p>
            <w:pPr>
              <w:pStyle w:val="ListParagraph"/>
              <w:widowControl w:val="false"/>
              <w:tabs>
                <w:tab w:val="right" w:pos="73" w:leader="none"/>
                <w:tab w:val="right" w:pos="214" w:leader="none"/>
              </w:tabs>
              <w:suppressAutoHyphens w:val="true"/>
              <w:spacing w:lineRule="auto" w:line="240" w:before="0" w:after="0"/>
              <w:ind w:left="214" w:hanging="0"/>
              <w:contextualSpacing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tabs>
                <w:tab w:val="right" w:pos="284" w:leader="none"/>
              </w:tabs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W przypadku nasilenia objawów chorobowych zalecana jest konsultacja z lekarzem. </w:t>
            </w:r>
          </w:p>
          <w:p>
            <w:pPr>
              <w:pStyle w:val="Normal"/>
              <w:widowControl w:val="false"/>
              <w:tabs>
                <w:tab w:val="right" w:pos="284" w:leader="none"/>
              </w:tabs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tabs>
                <w:tab w:val="right" w:pos="284" w:leader="none"/>
              </w:tabs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  <w:u w:val="single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u w:val="single"/>
              </w:rPr>
              <w:t>Zaleca się również: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tabs>
                <w:tab w:val="right" w:pos="118" w:leader="none"/>
              </w:tabs>
              <w:suppressAutoHyphens w:val="true"/>
              <w:spacing w:lineRule="auto" w:line="240" w:before="0" w:after="0"/>
              <w:ind w:left="118" w:hanging="118"/>
              <w:contextualSpacing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zwiększenie nadzoru nad osobami przewlekle chorymi, w tym niepełnosprawnymi, 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tabs>
                <w:tab w:val="right" w:pos="118" w:leader="none"/>
              </w:tabs>
              <w:suppressAutoHyphens w:val="true"/>
              <w:spacing w:lineRule="auto" w:line="240" w:before="0" w:after="0"/>
              <w:ind w:left="118" w:hanging="118"/>
              <w:contextualSpacing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stosowanie środków ochrony osobistej (np. tzw. masek antysmogowych) tylko po konsultacji z lekarzem,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tabs>
                <w:tab w:val="right" w:pos="118" w:leader="none"/>
              </w:tabs>
              <w:suppressAutoHyphens w:val="true"/>
              <w:spacing w:lineRule="auto" w:line="240" w:before="0" w:after="0"/>
              <w:ind w:left="118" w:hanging="118"/>
              <w:contextualSpacing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prowadzenie szerokiej edukacji adresowanej przede wszystkim do uczniów szkół podstawowych, średnich oraz ich prawnych opiekunów, dotyczącej problemu zanieczyszczonego powietrza oraz możliwych zachowań i czynności zmniejszających ryzyko narażenia na wysokie stężenia zanieczyszczeń w tym pyłu zawieszonego,</w:t>
            </w:r>
          </w:p>
          <w:p>
            <w:pPr>
              <w:pStyle w:val="Normal"/>
              <w:widowControl w:val="false"/>
              <w:tabs>
                <w:tab w:val="right" w:pos="284" w:leader="none"/>
              </w:tabs>
              <w:suppressAutoHyphens w:val="true"/>
              <w:spacing w:lineRule="auto" w:line="240" w:before="0" w:after="0"/>
              <w:ind w:firstLine="214"/>
              <w:jc w:val="both"/>
              <w:rPr/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- bieżące śledzenie informacji o danych pomiarowych ze stacji(</w:t>
            </w:r>
            <w:hyperlink r:id="rId2">
              <w:r>
                <w:rPr>
                  <w:rStyle w:val="Czeinternetowe"/>
                  <w:rFonts w:eastAsia="Calibri" w:cs="Times New Roman" w:ascii="Times New Roman" w:hAnsi="Times New Roman"/>
                  <w:sz w:val="24"/>
                  <w:szCs w:val="24"/>
                </w:rPr>
                <w:t>http://powietrze.gios.gov.pl/pjp/current</w:t>
              </w:r>
            </w:hyperlink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)</w:t>
            </w:r>
          </w:p>
          <w:p>
            <w:pPr>
              <w:pStyle w:val="Normal"/>
              <w:widowControl w:val="false"/>
              <w:tabs>
                <w:tab w:val="right" w:pos="284" w:leader="none"/>
              </w:tabs>
              <w:suppressAutoHyphens w:val="true"/>
              <w:spacing w:lineRule="auto" w:line="240" w:before="0" w:after="0"/>
              <w:ind w:left="215" w:hanging="1"/>
              <w:jc w:val="both"/>
              <w:rPr/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i prognoz zmian zanieczyszczenia powietrza   (</w:t>
            </w:r>
            <w:hyperlink r:id="rId3">
              <w:r>
                <w:rPr>
                  <w:rStyle w:val="Czeinternetowe"/>
                  <w:rFonts w:eastAsia="Calibri" w:cs="Times New Roman" w:ascii="Times New Roman" w:hAnsi="Times New Roman"/>
                  <w:sz w:val="24"/>
                  <w:szCs w:val="24"/>
                </w:rPr>
                <w:t>http://powietrze.gios.gov.pl/pjp/airPollution</w:t>
              </w:r>
            </w:hyperlink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)</w:t>
            </w:r>
          </w:p>
          <w:p>
            <w:pPr>
              <w:pStyle w:val="Normal"/>
              <w:widowControl w:val="false"/>
              <w:tabs>
                <w:tab w:val="right" w:pos="284" w:leader="none"/>
              </w:tabs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</w:r>
    </w:p>
    <w:tbl>
      <w:tblPr>
        <w:tblStyle w:val="Tabela-Siatka"/>
        <w:tblW w:w="9043" w:type="dxa"/>
        <w:jc w:val="left"/>
        <w:tblInd w:w="0" w:type="dxa"/>
        <w:tblCellMar>
          <w:top w:w="0" w:type="dxa"/>
          <w:left w:w="102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395"/>
        <w:gridCol w:w="6647"/>
      </w:tblGrid>
      <w:tr>
        <w:trPr>
          <w:trHeight w:val="531" w:hRule="atLeast"/>
        </w:trPr>
        <w:tc>
          <w:tcPr>
            <w:tcW w:w="9042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color="auto" w:fill="auto" w:val="clear"/>
            <w:tcMar>
              <w:left w:w="102" w:type="dxa"/>
            </w:tcMar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</w:rPr>
              <w:t>DZIAŁANIA ZMIERZAJĄCE DO OGRANICZENIA PRZEKROCZEŃ</w:t>
            </w:r>
          </w:p>
        </w:tc>
      </w:tr>
      <w:tr>
        <w:trPr/>
        <w:tc>
          <w:tcPr>
            <w:tcW w:w="239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6" w:space="0" w:color="00000A"/>
              <w:insideH w:val="single" w:sz="12" w:space="0" w:color="00000A"/>
              <w:insideV w:val="single" w:sz="6" w:space="0" w:color="00000A"/>
            </w:tcBorders>
            <w:shd w:color="auto" w:fill="auto" w:val="clear"/>
            <w:tcMar>
              <w:left w:w="102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</w:rPr>
              <w:t xml:space="preserve">Zakres działań krótkoterminowych  </w:t>
            </w:r>
          </w:p>
        </w:tc>
        <w:tc>
          <w:tcPr>
            <w:tcW w:w="6647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color="auto" w:fill="auto" w:val="clear"/>
            <w:tcMar>
              <w:left w:w="109" w:type="dxa"/>
            </w:tcMar>
            <w:vAlign w:val="center"/>
          </w:tcPr>
          <w:p>
            <w:pPr>
              <w:pStyle w:val="Normal"/>
              <w:numPr>
                <w:ilvl w:val="0"/>
                <w:numId w:val="2"/>
              </w:numPr>
              <w:shd w:val="clear" w:color="auto" w:fill="FFFFFF"/>
              <w:tabs>
                <w:tab w:val="left" w:pos="802" w:leader="none"/>
              </w:tabs>
              <w:spacing w:lineRule="auto" w:line="276" w:before="0" w:after="0"/>
              <w:ind w:left="284" w:right="-2" w:hanging="284"/>
              <w:contextualSpacing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zakaz korzystania z instalacji do spalania biomasy drzewnej (kominków, piecyków kominkowych, piecyków ozdobnych); nie dotyczy, gdy jest to jedyne źródło ciepła lub gdy do lokalu nie jest dostarczana energia elektryczna wskutek awarii,</w:t>
            </w:r>
          </w:p>
          <w:p>
            <w:pPr>
              <w:pStyle w:val="Normal"/>
              <w:numPr>
                <w:ilvl w:val="0"/>
                <w:numId w:val="2"/>
              </w:numPr>
              <w:shd w:val="clear" w:color="auto" w:fill="FFFFFF"/>
              <w:tabs>
                <w:tab w:val="left" w:pos="802" w:leader="none"/>
              </w:tabs>
              <w:spacing w:lineRule="auto" w:line="276" w:before="0" w:after="0"/>
              <w:ind w:left="284" w:right="-2" w:hanging="284"/>
              <w:contextualSpacing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zakaz używania spalinowego sprzętu ogrodniczego (kosiarki, piły, itp.),</w:t>
            </w:r>
          </w:p>
          <w:p>
            <w:pPr>
              <w:pStyle w:val="Normal"/>
              <w:numPr>
                <w:ilvl w:val="0"/>
                <w:numId w:val="2"/>
              </w:numPr>
              <w:shd w:val="clear" w:color="auto" w:fill="FFFFFF"/>
              <w:tabs>
                <w:tab w:val="left" w:pos="802" w:leader="none"/>
              </w:tabs>
              <w:spacing w:lineRule="auto" w:line="276" w:before="0" w:after="0"/>
              <w:ind w:left="284" w:right="-2" w:hanging="284"/>
              <w:contextualSpacing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zakaz rozpalania grilli i ognisk,</w:t>
            </w:r>
          </w:p>
          <w:p>
            <w:pPr>
              <w:pStyle w:val="Normal"/>
              <w:numPr>
                <w:ilvl w:val="0"/>
                <w:numId w:val="2"/>
              </w:numPr>
              <w:shd w:val="clear" w:color="auto" w:fill="FFFFFF"/>
              <w:tabs>
                <w:tab w:val="left" w:pos="802" w:leader="none"/>
              </w:tabs>
              <w:spacing w:lineRule="auto" w:line="276" w:before="0" w:after="0"/>
              <w:ind w:left="284" w:right="-2" w:hanging="284"/>
              <w:contextualSpacing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zakaz używania dmuchaw do liści,</w:t>
            </w:r>
          </w:p>
          <w:p>
            <w:pPr>
              <w:pStyle w:val="Normal"/>
              <w:numPr>
                <w:ilvl w:val="0"/>
                <w:numId w:val="2"/>
              </w:numPr>
              <w:shd w:val="clear" w:color="auto" w:fill="FFFFFF"/>
              <w:tabs>
                <w:tab w:val="left" w:pos="802" w:leader="none"/>
              </w:tabs>
              <w:spacing w:lineRule="auto" w:line="276" w:before="0" w:after="0"/>
              <w:ind w:left="284" w:right="-2" w:hanging="284"/>
              <w:contextualSpacing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zalecenie korzystania z komunikacji miejskiej/gminnej zamiast komunikacji indywidualnej,</w:t>
            </w:r>
          </w:p>
          <w:p>
            <w:pPr>
              <w:pStyle w:val="Normal"/>
              <w:numPr>
                <w:ilvl w:val="0"/>
                <w:numId w:val="2"/>
              </w:numPr>
              <w:shd w:val="clear" w:color="auto" w:fill="FFFFFF"/>
              <w:tabs>
                <w:tab w:val="left" w:pos="802" w:leader="none"/>
              </w:tabs>
              <w:spacing w:lineRule="auto" w:line="276" w:before="0" w:after="0"/>
              <w:ind w:left="284" w:right="-2" w:hanging="284"/>
              <w:contextualSpacing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czasowe wprowadzenie bezpłatnych przejazdów komunikacją miejską/gminną dla posiadaczy samochodów osobowych, w dniach po ogłoszeniu powiadomienia,</w:t>
            </w:r>
          </w:p>
          <w:p>
            <w:pPr>
              <w:pStyle w:val="Normal"/>
              <w:numPr>
                <w:ilvl w:val="0"/>
                <w:numId w:val="2"/>
              </w:numPr>
              <w:shd w:val="clear" w:color="auto" w:fill="FFFFFF"/>
              <w:tabs>
                <w:tab w:val="left" w:pos="802" w:leader="none"/>
              </w:tabs>
              <w:spacing w:lineRule="auto" w:line="276" w:before="0" w:after="0"/>
              <w:ind w:left="284" w:right="-2" w:hanging="284"/>
              <w:contextualSpacing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nakaz zraszania  pryzm materiałów sypkich, znajdujących się na otwartej przestrzeni w celu wyeliminowania pylenia,</w:t>
            </w:r>
          </w:p>
          <w:p>
            <w:pPr>
              <w:pStyle w:val="Normal"/>
              <w:numPr>
                <w:ilvl w:val="0"/>
                <w:numId w:val="2"/>
              </w:numPr>
              <w:shd w:val="clear" w:color="auto" w:fill="FFFFFF"/>
              <w:tabs>
                <w:tab w:val="left" w:pos="802" w:leader="none"/>
              </w:tabs>
              <w:spacing w:lineRule="auto" w:line="276" w:before="0" w:after="0"/>
              <w:ind w:left="284" w:right="-2" w:hanging="284"/>
              <w:contextualSpacing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czasowe zawieszenie uciążliwych prac budowlanych</w:t>
            </w:r>
            <w:r>
              <w:rPr>
                <w:rFonts w:cs="ArialMT" w:ascii="ArialMT" w:hAnsi="ArialMT"/>
                <w:sz w:val="18"/>
                <w:szCs w:val="18"/>
              </w:rPr>
              <w:t xml:space="preserve"> </w:t>
            </w: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powodujących powstawanie emisji powierzchniowej,</w:t>
            </w:r>
          </w:p>
          <w:p>
            <w:pPr>
              <w:pStyle w:val="Normal"/>
              <w:numPr>
                <w:ilvl w:val="0"/>
                <w:numId w:val="2"/>
              </w:numPr>
              <w:shd w:val="clear" w:color="auto" w:fill="FFFFFF"/>
              <w:tabs>
                <w:tab w:val="left" w:pos="802" w:leader="none"/>
              </w:tabs>
              <w:spacing w:lineRule="auto" w:line="276" w:before="0" w:after="0"/>
              <w:ind w:left="284" w:right="-2" w:hanging="284"/>
              <w:contextualSpacing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intensywne kontrole palenisk domowych w zakresie przestrzegania zakazu spalania odpadów,</w:t>
            </w:r>
          </w:p>
          <w:p>
            <w:pPr>
              <w:pStyle w:val="Normal"/>
              <w:numPr>
                <w:ilvl w:val="0"/>
                <w:numId w:val="2"/>
              </w:numPr>
              <w:shd w:val="clear" w:color="auto" w:fill="FFFFFF"/>
              <w:tabs>
                <w:tab w:val="left" w:pos="802" w:leader="none"/>
              </w:tabs>
              <w:spacing w:lineRule="auto" w:line="276" w:before="0" w:after="0"/>
              <w:ind w:left="284" w:right="-2" w:hanging="284"/>
              <w:contextualSpacing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intensywne kontrole w zakresie przestrzegania zakazu palenia odpadów biogennych (liści, gałęzi, trawy), w ogrodach oraz na innych obszarach zieleni,</w:t>
            </w:r>
          </w:p>
          <w:p>
            <w:pPr>
              <w:pStyle w:val="Normal"/>
              <w:numPr>
                <w:ilvl w:val="0"/>
                <w:numId w:val="2"/>
              </w:numPr>
              <w:shd w:val="clear" w:color="auto" w:fill="FFFFFF"/>
              <w:tabs>
                <w:tab w:val="left" w:pos="802" w:leader="none"/>
              </w:tabs>
              <w:spacing w:lineRule="auto" w:line="276" w:before="0" w:after="0"/>
              <w:ind w:left="284" w:right="-2" w:hanging="284"/>
              <w:contextualSpacing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wzmożone kontrole pojazdów pod kątem jakości spalin,</w:t>
            </w:r>
          </w:p>
          <w:p>
            <w:pPr>
              <w:pStyle w:val="Normal"/>
              <w:numPr>
                <w:ilvl w:val="0"/>
                <w:numId w:val="2"/>
              </w:numPr>
              <w:shd w:val="clear" w:color="auto" w:fill="FFFFFF"/>
              <w:tabs>
                <w:tab w:val="left" w:pos="802" w:leader="none"/>
              </w:tabs>
              <w:spacing w:lineRule="auto" w:line="276" w:before="0" w:after="0"/>
              <w:ind w:left="284" w:right="-2" w:hanging="284"/>
              <w:contextualSpacing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intensywne kontrole czystości dróg wyjazdowych z terenów prowadzonych inwestycji (budów).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</w:r>
    </w:p>
    <w:tbl>
      <w:tblPr>
        <w:tblStyle w:val="Tabela-Siatka"/>
        <w:tblW w:w="9042" w:type="dxa"/>
        <w:jc w:val="left"/>
        <w:tblInd w:w="0" w:type="dxa"/>
        <w:tblCellMar>
          <w:top w:w="0" w:type="dxa"/>
          <w:left w:w="107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09"/>
        <w:gridCol w:w="6632"/>
      </w:tblGrid>
      <w:tr>
        <w:trPr>
          <w:trHeight w:val="586" w:hRule="atLeast"/>
        </w:trPr>
        <w:tc>
          <w:tcPr>
            <w:tcW w:w="9041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6" w:space="0" w:color="00000A"/>
              <w:insideH w:val="single" w:sz="12" w:space="0" w:color="00000A"/>
              <w:insideV w:val="single" w:sz="6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color w:val="FF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</w:rPr>
              <w:t>INFORMACJE ORGANIZACYJNE</w:t>
            </w:r>
          </w:p>
        </w:tc>
      </w:tr>
      <w:tr>
        <w:trPr/>
        <w:tc>
          <w:tcPr>
            <w:tcW w:w="2409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</w:rPr>
              <w:t>Data wydania</w:t>
            </w:r>
          </w:p>
        </w:tc>
        <w:tc>
          <w:tcPr>
            <w:tcW w:w="6632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  <w:insideH w:val="single" w:sz="6" w:space="0" w:color="00000A"/>
              <w:insideV w:val="single" w:sz="12" w:space="0" w:color="00000A"/>
            </w:tcBorders>
            <w:shd w:color="auto" w:fill="auto" w:val="clear"/>
            <w:tcMar>
              <w:left w:w="114" w:type="dxa"/>
            </w:tcMar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bidi="en-US"/>
              </w:rPr>
            </w:pPr>
            <w:r>
              <w:rPr>
                <w:rFonts w:eastAsia="Calibri" w:cs="Times New Roman" w:ascii="Times New Roman" w:hAnsi="Times New Roman"/>
                <w:i/>
                <w:sz w:val="24"/>
                <w:szCs w:val="24"/>
              </w:rPr>
              <w:t>18.01.2021 r. godz. 9:00</w:t>
            </w:r>
          </w:p>
        </w:tc>
      </w:tr>
      <w:tr>
        <w:trPr/>
        <w:tc>
          <w:tcPr>
            <w:tcW w:w="24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</w:rPr>
              <w:t>Podstawa prawna</w:t>
            </w:r>
          </w:p>
        </w:tc>
        <w:tc>
          <w:tcPr>
            <w:tcW w:w="66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  <w:insideH w:val="single" w:sz="6" w:space="0" w:color="00000A"/>
              <w:insideV w:val="single" w:sz="12" w:space="0" w:color="00000A"/>
            </w:tcBorders>
            <w:shd w:color="auto" w:fill="auto" w:val="clear"/>
            <w:tcMar>
              <w:left w:w="114" w:type="dxa"/>
            </w:tcMar>
            <w:vAlign w:val="center"/>
          </w:tcPr>
          <w:p>
            <w:pPr>
              <w:pStyle w:val="Normal"/>
              <w:widowControl w:val="false"/>
              <w:numPr>
                <w:ilvl w:val="0"/>
                <w:numId w:val="3"/>
              </w:numPr>
              <w:spacing w:lineRule="atLeast" w:line="40" w:before="0" w:after="0"/>
              <w:ind w:left="317" w:hanging="317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pl-PL"/>
              </w:rPr>
              <w:t xml:space="preserve">Ustawa z dnia 27 kwietnia 2001 r. Prawo ochrony środowiska </w:t>
            </w: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(t.j. Dz. U. z 2020 r. poz. 1219 z późn. zm.)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spacing w:lineRule="atLeast" w:line="40" w:before="0" w:after="0"/>
              <w:ind w:left="317" w:hanging="317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pl-PL"/>
              </w:rPr>
              <w:t>rozporządzenie Ministra Środowiska z dnia 8 października 2019 r. zmieniające rozporządzenie w sprawie poziomów niektórych substancji w powietrzu (Dz. U. poz. 1931)</w:t>
            </w:r>
          </w:p>
        </w:tc>
      </w:tr>
      <w:tr>
        <w:trPr/>
        <w:tc>
          <w:tcPr>
            <w:tcW w:w="24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</w:rPr>
              <w:t>Źródła danych</w:t>
            </w:r>
          </w:p>
        </w:tc>
        <w:tc>
          <w:tcPr>
            <w:tcW w:w="66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  <w:insideH w:val="single" w:sz="6" w:space="0" w:color="00000A"/>
              <w:insideV w:val="single" w:sz="12" w:space="0" w:color="00000A"/>
            </w:tcBorders>
            <w:shd w:color="auto" w:fill="auto" w:val="clear"/>
            <w:tcMar>
              <w:left w:w="114" w:type="dxa"/>
            </w:tcMar>
            <w:vAlign w:val="center"/>
          </w:tcPr>
          <w:p>
            <w:pPr>
              <w:pStyle w:val="Normal"/>
              <w:widowControl w:val="false"/>
              <w:numPr>
                <w:ilvl w:val="0"/>
                <w:numId w:val="3"/>
              </w:numPr>
              <w:spacing w:lineRule="atLeast" w:line="40" w:before="0" w:after="0"/>
              <w:ind w:left="317" w:hanging="317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pl-PL"/>
              </w:rPr>
              <w:t>Państwowy Monitoring Środowiska – dane z systemu monitoringu jakości powietrza Głównego Inspektoratu Ochrony Środowiska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spacing w:lineRule="atLeast" w:line="40" w:before="0" w:after="0"/>
              <w:ind w:left="317" w:hanging="317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pl-PL"/>
              </w:rPr>
              <w:t>Instytut Ochrony Środowiska – Państwowy Instytut Badawczy (IOŚ-PIB) w Warszawie - prognoza jakości powietrza</w:t>
            </w:r>
          </w:p>
        </w:tc>
      </w:tr>
      <w:tr>
        <w:trPr/>
        <w:tc>
          <w:tcPr>
            <w:tcW w:w="24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</w:rPr>
              <w:t>Opracowanie</w:t>
            </w:r>
          </w:p>
        </w:tc>
        <w:tc>
          <w:tcPr>
            <w:tcW w:w="66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  <w:insideH w:val="single" w:sz="6" w:space="0" w:color="00000A"/>
              <w:insideV w:val="single" w:sz="12" w:space="0" w:color="00000A"/>
            </w:tcBorders>
            <w:shd w:color="auto" w:fill="auto" w:val="clear"/>
            <w:tcMar>
              <w:left w:w="114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Departament Monitoringu Środowiska Głównego Inspektoratu Ochrony Środowiska </w:t>
            </w:r>
            <w:r>
              <w:rPr>
                <w:rFonts w:eastAsia="Calibri" w:cs="Times New Roman" w:ascii="Times New Roman" w:hAnsi="Times New Roman"/>
                <w:i/>
                <w:sz w:val="24"/>
                <w:szCs w:val="24"/>
              </w:rPr>
              <w:t>(</w:t>
            </w: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w przypadku RWMŚ należy dopisać informację o RWMŚ przygotowującym informację</w:t>
            </w:r>
            <w:r>
              <w:rPr>
                <w:rFonts w:eastAsia="Calibri" w:cs="Times New Roman" w:ascii="Times New Roman" w:hAnsi="Times New Roman"/>
                <w:i/>
                <w:sz w:val="24"/>
                <w:szCs w:val="24"/>
              </w:rPr>
              <w:t>)</w:t>
            </w:r>
          </w:p>
        </w:tc>
      </w:tr>
      <w:tr>
        <w:trPr/>
        <w:tc>
          <w:tcPr>
            <w:tcW w:w="2409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6" w:space="0" w:color="00000A"/>
              <w:insideH w:val="single" w:sz="12" w:space="0" w:color="00000A"/>
              <w:insideV w:val="single" w:sz="6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</w:rPr>
              <w:t>Publikacja</w:t>
            </w:r>
          </w:p>
        </w:tc>
        <w:tc>
          <w:tcPr>
            <w:tcW w:w="6632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color="auto" w:fill="auto" w:val="clear"/>
            <w:tcMar>
              <w:left w:w="114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/>
            </w:pPr>
            <w:hyperlink r:id="rId4">
              <w:r>
                <w:rPr>
                  <w:rStyle w:val="Czeinternetowe"/>
                  <w:rFonts w:eastAsia="Calibri" w:cs="Times New Roman" w:ascii="Times New Roman" w:hAnsi="Times New Roman"/>
                  <w:color w:val="0563C1"/>
                  <w:sz w:val="24"/>
                  <w:szCs w:val="24"/>
                  <w:u w:val="single"/>
                </w:rPr>
                <w:t>http://powietrze.gios.gov.pl/pjp/warnings</w:t>
              </w:r>
            </w:hyperlink>
          </w:p>
        </w:tc>
      </w:tr>
    </w:tbl>
    <w:p>
      <w:pPr>
        <w:pStyle w:val="Normal"/>
        <w:spacing w:lineRule="auto" w:line="259" w:before="0" w:after="160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59" w:before="0" w:after="160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59" w:before="0" w:after="160"/>
        <w:rPr>
          <w:i/>
          <w:i/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8"/>
          <w:szCs w:val="28"/>
          <w:u w:val="single"/>
        </w:rPr>
        <w:t>Wzór powiadomienia do systemu RSO</w:t>
      </w:r>
    </w:p>
    <w:tbl>
      <w:tblPr>
        <w:tblW w:w="9062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360"/>
        <w:gridCol w:w="5701"/>
      </w:tblGrid>
      <w:tr>
        <w:trPr/>
        <w:tc>
          <w:tcPr>
            <w:tcW w:w="3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pl-PL"/>
              </w:rPr>
              <w:t>Tytuł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5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  <w:lang w:eastAsia="pl-PL"/>
              </w:rPr>
              <w:t>Uwaga! SMOG</w:t>
            </w:r>
          </w:p>
        </w:tc>
      </w:tr>
      <w:tr>
        <w:trPr/>
        <w:tc>
          <w:tcPr>
            <w:tcW w:w="3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pl-PL"/>
              </w:rPr>
              <w:t>Skrót</w:t>
            </w:r>
          </w:p>
        </w:tc>
        <w:tc>
          <w:tcPr>
            <w:tcW w:w="5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 xml:space="preserve">W dniu </w:t>
            </w:r>
            <w:r>
              <w:rPr>
                <w:rFonts w:eastAsia="Calibri" w:cs="Times New Roman" w:ascii="Times New Roman" w:hAnsi="Times New Roman"/>
                <w:i/>
                <w:sz w:val="24"/>
                <w:szCs w:val="24"/>
              </w:rPr>
              <w:t xml:space="preserve">18.01.2021 </w:t>
            </w:r>
            <w:r>
              <w:rPr>
                <w:rFonts w:eastAsia="Times New Roman" w:cs="Times New Roman" w:ascii="Times New Roman" w:hAnsi="Times New Roman"/>
                <w:i/>
                <w:sz w:val="24"/>
                <w:szCs w:val="24"/>
                <w:lang w:eastAsia="pl-PL"/>
              </w:rPr>
              <w:t xml:space="preserve">r.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 xml:space="preserve">na części woj. </w:t>
            </w:r>
            <w:r>
              <w:rPr>
                <w:rFonts w:eastAsia="Times New Roman" w:cs="Times New Roman" w:ascii="Times New Roman" w:hAnsi="Times New Roman"/>
                <w:i/>
                <w:sz w:val="24"/>
                <w:szCs w:val="24"/>
                <w:lang w:eastAsia="pl-PL"/>
              </w:rPr>
              <w:t>mazowieckiego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 xml:space="preserve"> istnieje ryzyko wystąpienia przekroczenia poziomu alarmowego dla pyłu zawieszonego PM10 (150 µg/m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vertAlign w:val="superscript"/>
                <w:lang w:eastAsia="pl-PL"/>
              </w:rPr>
              <w:t>3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 xml:space="preserve">). </w:t>
            </w:r>
          </w:p>
        </w:tc>
      </w:tr>
      <w:tr>
        <w:trPr/>
        <w:tc>
          <w:tcPr>
            <w:tcW w:w="3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pl-PL"/>
              </w:rPr>
              <w:t>Treść całego powiadomienia</w:t>
            </w:r>
          </w:p>
        </w:tc>
        <w:tc>
          <w:tcPr>
            <w:tcW w:w="5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9" w:before="0" w:after="16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Przekroczenie poziomu alarmowego dla pyłu zawieszonego PM10 obejmuje powiaty: otwocki, legionowski i wołomiński.</w:t>
            </w:r>
          </w:p>
          <w:p>
            <w:pPr>
              <w:pStyle w:val="Normal"/>
              <w:spacing w:lineRule="auto" w:lin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Zrezygnuj ze spacerów. Jeśli możesz, zostań w domu. Nie wietrz pomieszczeń. Chroń dzieci, osoby starsze, kobiety w ciąży.</w:t>
            </w:r>
          </w:p>
          <w:p>
            <w:pPr>
              <w:pStyle w:val="Normal"/>
              <w:spacing w:lineRule="auto" w:line="240" w:before="0" w:after="20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Obowiązuje Cię zakaz rekreacyjnego palenia w kominkach, zakaz rozpalania grilli i ognisk, zakaz używania spalinowego sprzętu ogrodniczego oraz zakaz używania dmuchaw do liści.</w:t>
            </w:r>
          </w:p>
        </w:tc>
      </w:tr>
    </w:tbl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footerReference w:type="default" r:id="rId5"/>
      <w:type w:val="nextPage"/>
      <w:pgSz w:w="11906" w:h="16838"/>
      <w:pgMar w:left="1417" w:right="1417" w:header="0" w:top="709" w:footer="0" w:bottom="993" w:gutter="0"/>
      <w:pgNumType w:start="1"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mbria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  <w:font w:name="ArialMT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  <w:font w:name="Segoe UI Semilight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869118132"/>
    </w:sdtPr>
    <w:sdtContent>
      <w:p>
        <w:pPr>
          <w:pStyle w:val="Stopka"/>
          <w:jc w:val="center"/>
          <w:rPr/>
        </w:pPr>
        <w:r>
          <w:rPr>
            <w:rFonts w:cs="Times New Roman" w:ascii="Times New Roman" w:hAnsi="Times New Roman"/>
          </w:rPr>
          <w:fldChar w:fldCharType="begin"/>
        </w:r>
        <w:r>
          <w:instrText> PAGE </w:instrText>
        </w:r>
        <w:r>
          <w:fldChar w:fldCharType="separate"/>
        </w:r>
        <w:r>
          <w:t>3</w:t>
        </w:r>
        <w:r>
          <w:fldChar w:fldCharType="end"/>
        </w:r>
      </w:p>
    </w:sdtContent>
  </w:sdt>
  <w:p>
    <w:pPr>
      <w:pStyle w:val="Stopka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"/>
      <w:lvlJc w:val="left"/>
      <w:pPr>
        <w:ind w:left="113" w:hanging="113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-"/>
      <w:lvlJc w:val="left"/>
      <w:pPr>
        <w:ind w:left="720" w:hanging="360"/>
      </w:pPr>
      <w:rPr>
        <w:rFonts w:ascii="Segoe UI Semilight" w:hAnsi="Segoe UI Semilight" w:cs="Segoe UI Semilight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bullet"/>
      <w:lvlText w:val="-"/>
      <w:lvlJc w:val="left"/>
      <w:pPr>
        <w:ind w:left="720" w:hanging="360"/>
      </w:pPr>
      <w:rPr>
        <w:rFonts w:ascii="Segoe UI Semilight" w:hAnsi="Segoe UI Semilight" w:cs="Segoe UI Semilight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bullet"/>
      <w:lvlText w:val="-"/>
      <w:lvlJc w:val="left"/>
      <w:pPr>
        <w:ind w:left="720" w:hanging="360"/>
      </w:pPr>
      <w:rPr>
        <w:rFonts w:ascii="Segoe UI Semilight" w:hAnsi="Segoe UI Semilight" w:cs="Segoe UI Semilight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bb4001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Nagwek1">
    <w:name w:val="Heading 1"/>
    <w:basedOn w:val="Normal"/>
    <w:link w:val="Nagwek1Znak"/>
    <w:uiPriority w:val="9"/>
    <w:qFormat/>
    <w:rsid w:val="00ab45f3"/>
    <w:pPr>
      <w:keepNext/>
      <w:keepLines/>
      <w:spacing w:before="240" w:after="0"/>
      <w:outlineLvl w:val="0"/>
    </w:pPr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32"/>
      <w:szCs w:val="32"/>
    </w:rPr>
  </w:style>
  <w:style w:type="paragraph" w:styleId="Nagwek2">
    <w:name w:val="Heading 2"/>
    <w:basedOn w:val="Normal"/>
    <w:link w:val="Nagwek2Znak"/>
    <w:uiPriority w:val="9"/>
    <w:unhideWhenUsed/>
    <w:qFormat/>
    <w:rsid w:val="003863b2"/>
    <w:pPr>
      <w:keepNext/>
      <w:keepLines/>
      <w:spacing w:before="40" w:after="0"/>
      <w:outlineLvl w:val="1"/>
    </w:pPr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26"/>
      <w:szCs w:val="26"/>
    </w:rPr>
  </w:style>
  <w:style w:type="paragraph" w:styleId="Nagwek3">
    <w:name w:val="Heading 3"/>
    <w:basedOn w:val="Normal"/>
    <w:link w:val="Nagwek3Znak"/>
    <w:uiPriority w:val="9"/>
    <w:unhideWhenUsed/>
    <w:qFormat/>
    <w:rsid w:val="00e658bf"/>
    <w:pPr>
      <w:keepNext/>
      <w:keepLines/>
      <w:widowControl/>
      <w:bidi w:val="0"/>
      <w:spacing w:lineRule="auto" w:line="247" w:before="0" w:after="145"/>
      <w:ind w:left="10" w:right="9" w:hanging="10"/>
      <w:jc w:val="left"/>
      <w:outlineLvl w:val="2"/>
    </w:pPr>
    <w:rPr>
      <w:rFonts w:ascii="Times New Roman" w:hAnsi="Times New Roman" w:eastAsia="Times New Roman" w:cs="Times New Roman"/>
      <w:b/>
      <w:color w:val="000000"/>
      <w:sz w:val="24"/>
      <w:lang w:eastAsia="pl-P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rzypisukocowegoZnak" w:customStyle="1">
    <w:name w:val="Tekst przypisu końcowego Znak"/>
    <w:basedOn w:val="DefaultParagraphFont"/>
    <w:link w:val="Tekstprzypisukocowego"/>
    <w:uiPriority w:val="99"/>
    <w:semiHidden/>
    <w:qFormat/>
    <w:rsid w:val="00656169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qFormat/>
    <w:rsid w:val="00656169"/>
    <w:rPr>
      <w:vertAlign w:val="superscript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b05752"/>
    <w:rPr>
      <w:rFonts w:ascii="Tahoma" w:hAnsi="Tahoma" w:cs="Tahoma"/>
      <w:sz w:val="16"/>
      <w:szCs w:val="16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4921c2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4921c2"/>
    <w:rPr/>
  </w:style>
  <w:style w:type="character" w:styleId="FootnotedescriptionChar" w:customStyle="1">
    <w:name w:val="footnote description Char"/>
    <w:link w:val="footnotedescription"/>
    <w:qFormat/>
    <w:rsid w:val="00e658bf"/>
    <w:rPr>
      <w:rFonts w:ascii="Times New Roman" w:hAnsi="Times New Roman" w:eastAsia="Times New Roman" w:cs="Times New Roman"/>
      <w:color w:val="000000"/>
      <w:sz w:val="20"/>
      <w:lang w:eastAsia="pl-PL"/>
    </w:rPr>
  </w:style>
  <w:style w:type="character" w:styleId="Footnotemark" w:customStyle="1">
    <w:name w:val="footnote mark"/>
    <w:qFormat/>
    <w:rsid w:val="00e658bf"/>
    <w:rPr>
      <w:rFonts w:ascii="Times New Roman" w:hAnsi="Times New Roman" w:eastAsia="Times New Roman" w:cs="Times New Roman"/>
      <w:color w:val="000000"/>
      <w:sz w:val="20"/>
      <w:vertAlign w:val="superscript"/>
    </w:rPr>
  </w:style>
  <w:style w:type="character" w:styleId="Nagwek3Znak" w:customStyle="1">
    <w:name w:val="Nagłówek 3 Znak"/>
    <w:basedOn w:val="DefaultParagraphFont"/>
    <w:link w:val="Nagwek3"/>
    <w:qFormat/>
    <w:rsid w:val="00e658bf"/>
    <w:rPr>
      <w:rFonts w:ascii="Times New Roman" w:hAnsi="Times New Roman" w:eastAsia="Times New Roman" w:cs="Times New Roman"/>
      <w:b/>
      <w:color w:val="000000"/>
      <w:sz w:val="24"/>
      <w:lang w:eastAsia="pl-PL"/>
    </w:rPr>
  </w:style>
  <w:style w:type="character" w:styleId="Czeinternetowe">
    <w:name w:val="Łącze internetowe"/>
    <w:basedOn w:val="DefaultParagraphFont"/>
    <w:uiPriority w:val="99"/>
    <w:unhideWhenUsed/>
    <w:rsid w:val="0019172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f964d8"/>
    <w:rPr>
      <w:color w:val="800080" w:themeColor="followedHyperlink"/>
      <w:u w:val="single"/>
    </w:rPr>
  </w:style>
  <w:style w:type="character" w:styleId="Nagwek1Znak" w:customStyle="1">
    <w:name w:val="Nagłówek 1 Znak"/>
    <w:basedOn w:val="DefaultParagraphFont"/>
    <w:link w:val="Nagwek1"/>
    <w:uiPriority w:val="9"/>
    <w:qFormat/>
    <w:rsid w:val="00ab45f3"/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32"/>
      <w:szCs w:val="32"/>
    </w:rPr>
  </w:style>
  <w:style w:type="character" w:styleId="TekstkomentarzaZnak" w:customStyle="1">
    <w:name w:val="Tekst komentarza Znak"/>
    <w:basedOn w:val="DefaultParagraphFont"/>
    <w:link w:val="Tekstkomentarza"/>
    <w:uiPriority w:val="99"/>
    <w:qFormat/>
    <w:rsid w:val="00ab45f3"/>
    <w:rPr>
      <w:sz w:val="20"/>
      <w:szCs w:val="20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ab45f3"/>
    <w:rPr>
      <w:sz w:val="16"/>
      <w:szCs w:val="16"/>
    </w:rPr>
  </w:style>
  <w:style w:type="character" w:styleId="Nagwek2Znak" w:customStyle="1">
    <w:name w:val="Nagłówek 2 Znak"/>
    <w:basedOn w:val="DefaultParagraphFont"/>
    <w:link w:val="Nagwek2"/>
    <w:uiPriority w:val="9"/>
    <w:qFormat/>
    <w:rsid w:val="003863b2"/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26"/>
      <w:szCs w:val="26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233a87"/>
    <w:rPr>
      <w:b/>
      <w:bCs/>
      <w:sz w:val="20"/>
      <w:szCs w:val="20"/>
    </w:rPr>
  </w:style>
  <w:style w:type="character" w:styleId="UnresolvedMention" w:customStyle="1">
    <w:name w:val="Unresolved Mention"/>
    <w:basedOn w:val="DefaultParagraphFont"/>
    <w:uiPriority w:val="99"/>
    <w:semiHidden/>
    <w:unhideWhenUsed/>
    <w:qFormat/>
    <w:rsid w:val="00900c61"/>
    <w:rPr>
      <w:color w:val="605E5C"/>
      <w:shd w:fill="E1DFDD" w:val="clear"/>
    </w:rPr>
  </w:style>
  <w:style w:type="character" w:styleId="ListLabel1">
    <w:name w:val="ListLabel 1"/>
    <w:qFormat/>
    <w:rPr>
      <w:rFonts w:eastAsia="Times New Roman" w:cs="Times New Roman"/>
      <w:b w:val="false"/>
      <w:i w:val="false"/>
      <w:strike w:val="false"/>
      <w:dstrike w:val="false"/>
      <w:color w:val="000000"/>
      <w:sz w:val="20"/>
      <w:szCs w:val="20"/>
      <w:highlight w:val="white"/>
      <w:u w:val="none" w:color="000000"/>
      <w:vertAlign w:val="superscript"/>
    </w:rPr>
  </w:style>
  <w:style w:type="character" w:styleId="ListLabel2">
    <w:name w:val="ListLabel 2"/>
    <w:qFormat/>
    <w:rPr>
      <w:rFonts w:eastAsia="Times New Roman" w:cs="Times New Roman"/>
      <w:b w:val="false"/>
      <w:i w:val="false"/>
      <w:strike w:val="false"/>
      <w:dstrike w:val="false"/>
      <w:color w:val="000000"/>
      <w:sz w:val="20"/>
      <w:szCs w:val="20"/>
      <w:highlight w:val="white"/>
      <w:u w:val="none" w:color="000000"/>
      <w:vertAlign w:val="superscript"/>
    </w:rPr>
  </w:style>
  <w:style w:type="character" w:styleId="ListLabel3">
    <w:name w:val="ListLabel 3"/>
    <w:qFormat/>
    <w:rPr>
      <w:rFonts w:eastAsia="Times New Roman" w:cs="Times New Roman"/>
      <w:b w:val="false"/>
      <w:i w:val="false"/>
      <w:strike w:val="false"/>
      <w:dstrike w:val="false"/>
      <w:color w:val="000000"/>
      <w:sz w:val="20"/>
      <w:szCs w:val="20"/>
      <w:highlight w:val="white"/>
      <w:u w:val="none" w:color="000000"/>
      <w:vertAlign w:val="superscript"/>
    </w:rPr>
  </w:style>
  <w:style w:type="character" w:styleId="ListLabel4">
    <w:name w:val="ListLabel 4"/>
    <w:qFormat/>
    <w:rPr>
      <w:rFonts w:eastAsia="Times New Roman" w:cs="Times New Roman"/>
      <w:b w:val="false"/>
      <w:i w:val="false"/>
      <w:strike w:val="false"/>
      <w:dstrike w:val="false"/>
      <w:color w:val="000000"/>
      <w:sz w:val="20"/>
      <w:szCs w:val="20"/>
      <w:highlight w:val="white"/>
      <w:u w:val="none" w:color="000000"/>
      <w:vertAlign w:val="superscript"/>
    </w:rPr>
  </w:style>
  <w:style w:type="character" w:styleId="ListLabel5">
    <w:name w:val="ListLabel 5"/>
    <w:qFormat/>
    <w:rPr>
      <w:rFonts w:eastAsia="Times New Roman" w:cs="Times New Roman"/>
      <w:b w:val="false"/>
      <w:i w:val="false"/>
      <w:strike w:val="false"/>
      <w:dstrike w:val="false"/>
      <w:color w:val="000000"/>
      <w:sz w:val="20"/>
      <w:szCs w:val="20"/>
      <w:highlight w:val="white"/>
      <w:u w:val="none" w:color="000000"/>
      <w:vertAlign w:val="superscript"/>
    </w:rPr>
  </w:style>
  <w:style w:type="character" w:styleId="ListLabel6">
    <w:name w:val="ListLabel 6"/>
    <w:qFormat/>
    <w:rPr>
      <w:rFonts w:eastAsia="Times New Roman" w:cs="Times New Roman"/>
      <w:b w:val="false"/>
      <w:i w:val="false"/>
      <w:strike w:val="false"/>
      <w:dstrike w:val="false"/>
      <w:color w:val="000000"/>
      <w:sz w:val="20"/>
      <w:szCs w:val="20"/>
      <w:highlight w:val="white"/>
      <w:u w:val="none" w:color="000000"/>
      <w:vertAlign w:val="superscript"/>
    </w:rPr>
  </w:style>
  <w:style w:type="character" w:styleId="ListLabel7">
    <w:name w:val="ListLabel 7"/>
    <w:qFormat/>
    <w:rPr>
      <w:rFonts w:eastAsia="Times New Roman" w:cs="Times New Roman"/>
      <w:b w:val="false"/>
      <w:i w:val="false"/>
      <w:strike w:val="false"/>
      <w:dstrike w:val="false"/>
      <w:color w:val="000000"/>
      <w:sz w:val="20"/>
      <w:szCs w:val="20"/>
      <w:highlight w:val="white"/>
      <w:u w:val="none" w:color="000000"/>
      <w:vertAlign w:val="superscript"/>
    </w:rPr>
  </w:style>
  <w:style w:type="character" w:styleId="ListLabel8">
    <w:name w:val="ListLabel 8"/>
    <w:qFormat/>
    <w:rPr>
      <w:rFonts w:eastAsia="Times New Roman" w:cs="Times New Roman"/>
      <w:b w:val="false"/>
      <w:i w:val="false"/>
      <w:strike w:val="false"/>
      <w:dstrike w:val="false"/>
      <w:color w:val="000000"/>
      <w:sz w:val="20"/>
      <w:szCs w:val="20"/>
      <w:highlight w:val="white"/>
      <w:u w:val="none" w:color="000000"/>
      <w:vertAlign w:val="superscript"/>
    </w:rPr>
  </w:style>
  <w:style w:type="character" w:styleId="ListLabel9">
    <w:name w:val="ListLabel 9"/>
    <w:qFormat/>
    <w:rPr>
      <w:rFonts w:eastAsia="Times New Roman" w:cs="Times New Roman"/>
      <w:b w:val="false"/>
      <w:i w:val="false"/>
      <w:strike w:val="false"/>
      <w:dstrike w:val="false"/>
      <w:color w:val="000000"/>
      <w:sz w:val="20"/>
      <w:szCs w:val="20"/>
      <w:highlight w:val="white"/>
      <w:u w:val="none" w:color="000000"/>
      <w:vertAlign w:val="superscript"/>
    </w:rPr>
  </w:style>
  <w:style w:type="character" w:styleId="ListLabel10">
    <w:name w:val="ListLabel 10"/>
    <w:qFormat/>
    <w:rPr>
      <w:color w:val="365F91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eastAsia="Calibri" w:cs="Times New Roman"/>
    </w:rPr>
  </w:style>
  <w:style w:type="character" w:styleId="ListLabel24">
    <w:name w:val="ListLabel 24"/>
    <w:qFormat/>
    <w:rPr>
      <w:rFonts w:eastAsia="Times New Roman" w:cs="Times New Roman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Courier New"/>
    </w:rPr>
  </w:style>
  <w:style w:type="character" w:styleId="ListLabel34">
    <w:name w:val="ListLabel 34"/>
    <w:qFormat/>
    <w:rPr>
      <w:rFonts w:cs="Courier New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Courier New"/>
    </w:rPr>
  </w:style>
  <w:style w:type="character" w:styleId="ListLabel37">
    <w:name w:val="ListLabel 37"/>
    <w:qFormat/>
    <w:rPr>
      <w:rFonts w:cs="Courier New"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rFonts w:cs="Courier New"/>
    </w:rPr>
  </w:style>
  <w:style w:type="character" w:styleId="ListLabel40">
    <w:name w:val="ListLabel 40"/>
    <w:qFormat/>
    <w:rPr>
      <w:rFonts w:cs="Courier New"/>
    </w:rPr>
  </w:style>
  <w:style w:type="character" w:styleId="ListLabel41">
    <w:name w:val="ListLabel 41"/>
    <w:qFormat/>
    <w:rPr>
      <w:rFonts w:cs="Courier New"/>
    </w:rPr>
  </w:style>
  <w:style w:type="character" w:styleId="ListLabel42">
    <w:name w:val="ListLabel 42"/>
    <w:qFormat/>
    <w:rPr>
      <w:rFonts w:cs="Courier New"/>
    </w:rPr>
  </w:style>
  <w:style w:type="character" w:styleId="ListLabel43">
    <w:name w:val="ListLabel 43"/>
    <w:qFormat/>
    <w:rPr>
      <w:rFonts w:cs="Courier New"/>
    </w:rPr>
  </w:style>
  <w:style w:type="character" w:styleId="ListLabel44">
    <w:name w:val="ListLabel 44"/>
    <w:qFormat/>
    <w:rPr>
      <w:rFonts w:cs="Courier New"/>
    </w:rPr>
  </w:style>
  <w:style w:type="character" w:styleId="ListLabel45">
    <w:name w:val="ListLabel 45"/>
    <w:qFormat/>
    <w:rPr>
      <w:rFonts w:cs="Courier New"/>
    </w:rPr>
  </w:style>
  <w:style w:type="character" w:styleId="ListLabel46">
    <w:name w:val="ListLabel 46"/>
    <w:qFormat/>
    <w:rPr>
      <w:rFonts w:cs="Courier New"/>
    </w:rPr>
  </w:style>
  <w:style w:type="character" w:styleId="ListLabel47">
    <w:name w:val="ListLabel 47"/>
    <w:qFormat/>
    <w:rPr>
      <w:rFonts w:cs="Courier New"/>
    </w:rPr>
  </w:style>
  <w:style w:type="character" w:styleId="ListLabel48">
    <w:name w:val="ListLabel 48"/>
    <w:qFormat/>
    <w:rPr>
      <w:rFonts w:cs="Courier New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Default" w:customStyle="1">
    <w:name w:val="Default"/>
    <w:qFormat/>
    <w:rsid w:val="00bd71b0"/>
    <w:pPr>
      <w:widowControl w:val="false"/>
      <w:bidi w:val="0"/>
      <w:spacing w:lineRule="auto" w:line="240" w:before="0" w:after="0"/>
      <w:jc w:val="left"/>
    </w:pPr>
    <w:rPr>
      <w:rFonts w:ascii="Arial" w:hAnsi="Arial" w:eastAsia="" w:cs="Arial" w:eastAsiaTheme="minorEastAsia"/>
      <w:color w:val="000000"/>
      <w:kern w:val="0"/>
      <w:sz w:val="24"/>
      <w:szCs w:val="24"/>
      <w:lang w:eastAsia="pl-PL" w:val="pl-PL" w:bidi="ar-SA"/>
    </w:rPr>
  </w:style>
  <w:style w:type="paragraph" w:styleId="CM2" w:customStyle="1">
    <w:name w:val="CM2"/>
    <w:basedOn w:val="Default"/>
    <w:next w:val="Default"/>
    <w:uiPriority w:val="99"/>
    <w:qFormat/>
    <w:rsid w:val="00bd71b0"/>
    <w:pPr>
      <w:spacing w:lineRule="atLeast" w:line="311"/>
    </w:pPr>
    <w:rPr>
      <w:color w:val="00000A"/>
    </w:rPr>
  </w:style>
  <w:style w:type="paragraph" w:styleId="CM53" w:customStyle="1">
    <w:name w:val="CM53"/>
    <w:basedOn w:val="Default"/>
    <w:next w:val="Default"/>
    <w:uiPriority w:val="99"/>
    <w:qFormat/>
    <w:rsid w:val="00bd71b0"/>
    <w:pPr>
      <w:spacing w:lineRule="atLeast" w:line="311"/>
    </w:pPr>
    <w:rPr>
      <w:color w:val="00000A"/>
    </w:rPr>
  </w:style>
  <w:style w:type="paragraph" w:styleId="ListParagraph">
    <w:name w:val="List Paragraph"/>
    <w:basedOn w:val="Normal"/>
    <w:uiPriority w:val="34"/>
    <w:qFormat/>
    <w:rsid w:val="0004389d"/>
    <w:pPr>
      <w:spacing w:before="0" w:after="200"/>
      <w:ind w:left="720" w:hanging="0"/>
      <w:contextualSpacing/>
    </w:pPr>
    <w:rPr/>
  </w:style>
  <w:style w:type="paragraph" w:styleId="Endnotetext">
    <w:name w:val="endnote text"/>
    <w:basedOn w:val="Normal"/>
    <w:link w:val="TekstprzypisukocowegoZnak"/>
    <w:uiPriority w:val="99"/>
    <w:semiHidden/>
    <w:unhideWhenUsed/>
    <w:qFormat/>
    <w:rsid w:val="00656169"/>
    <w:pPr>
      <w:spacing w:lineRule="auto" w:line="240" w:before="0" w:after="0"/>
    </w:pPr>
    <w:rPr>
      <w:sz w:val="20"/>
      <w:szCs w:val="20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b05752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Gwka">
    <w:name w:val="Header"/>
    <w:basedOn w:val="Normal"/>
    <w:link w:val="NagwekZnak"/>
    <w:uiPriority w:val="99"/>
    <w:unhideWhenUsed/>
    <w:rsid w:val="004921c2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4921c2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Footnotedescription" w:customStyle="1">
    <w:name w:val="footnote description"/>
    <w:link w:val="footnotedescriptionChar"/>
    <w:qFormat/>
    <w:rsid w:val="00e658bf"/>
    <w:pPr>
      <w:widowControl/>
      <w:bidi w:val="0"/>
      <w:spacing w:lineRule="auto" w:line="264" w:before="0" w:after="15"/>
      <w:ind w:left="283" w:hanging="283"/>
      <w:jc w:val="both"/>
    </w:pPr>
    <w:rPr>
      <w:rFonts w:ascii="Times New Roman" w:hAnsi="Times New Roman" w:eastAsia="Times New Roman" w:cs="Times New Roman"/>
      <w:color w:val="000000"/>
      <w:kern w:val="0"/>
      <w:sz w:val="20"/>
      <w:szCs w:val="22"/>
      <w:lang w:eastAsia="pl-PL" w:val="pl-PL" w:bidi="ar-SA"/>
    </w:rPr>
  </w:style>
  <w:style w:type="paragraph" w:styleId="NormalWeb">
    <w:name w:val="Normal (Web)"/>
    <w:basedOn w:val="Normal"/>
    <w:uiPriority w:val="99"/>
    <w:unhideWhenUsed/>
    <w:qFormat/>
    <w:rsid w:val="00191729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Annotationtext">
    <w:name w:val="annotation text"/>
    <w:basedOn w:val="Normal"/>
    <w:link w:val="TekstkomentarzaZnak"/>
    <w:uiPriority w:val="99"/>
    <w:unhideWhenUsed/>
    <w:qFormat/>
    <w:rsid w:val="00ab45f3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link w:val="TematkomentarzaZnak"/>
    <w:uiPriority w:val="99"/>
    <w:semiHidden/>
    <w:unhideWhenUsed/>
    <w:qFormat/>
    <w:rsid w:val="00233a87"/>
    <w:pPr/>
    <w:rPr>
      <w:b/>
      <w:bCs/>
    </w:rPr>
  </w:style>
  <w:style w:type="paragraph" w:styleId="TOCHeading">
    <w:name w:val="TOC Heading"/>
    <w:basedOn w:val="Nagwek1"/>
    <w:uiPriority w:val="39"/>
    <w:unhideWhenUsed/>
    <w:qFormat/>
    <w:rsid w:val="00445038"/>
    <w:pPr>
      <w:spacing w:lineRule="auto" w:line="259"/>
    </w:pPr>
    <w:rPr>
      <w:lang w:eastAsia="pl-PL"/>
    </w:rPr>
  </w:style>
  <w:style w:type="paragraph" w:styleId="Spistreci1">
    <w:name w:val="TOC 1"/>
    <w:basedOn w:val="Normal"/>
    <w:autoRedefine/>
    <w:uiPriority w:val="39"/>
    <w:unhideWhenUsed/>
    <w:rsid w:val="00a923d0"/>
    <w:pPr>
      <w:tabs>
        <w:tab w:val="left" w:pos="284" w:leader="none"/>
        <w:tab w:val="right" w:pos="9062" w:leader="dot"/>
      </w:tabs>
      <w:spacing w:lineRule="auto" w:line="240" w:before="0" w:after="120"/>
      <w:ind w:left="284" w:hanging="284"/>
      <w:jc w:val="both"/>
    </w:pPr>
    <w:rPr/>
  </w:style>
  <w:style w:type="paragraph" w:styleId="Spistreci2">
    <w:name w:val="TOC 2"/>
    <w:basedOn w:val="Normal"/>
    <w:autoRedefine/>
    <w:uiPriority w:val="39"/>
    <w:unhideWhenUsed/>
    <w:rsid w:val="00ab62c2"/>
    <w:pPr>
      <w:tabs>
        <w:tab w:val="left" w:pos="284" w:leader="none"/>
        <w:tab w:val="right" w:pos="9062" w:leader="dot"/>
      </w:tabs>
      <w:spacing w:lineRule="auto" w:line="240" w:before="0" w:after="240"/>
      <w:ind w:left="284" w:hanging="0"/>
      <w:jc w:val="center"/>
    </w:pPr>
    <w:rPr>
      <w:rFonts w:ascii="Times New Roman" w:hAnsi="Times New Roman" w:eastAsia="Calibri" w:cs="Times New Roman"/>
      <w:b/>
      <w:i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6f7b3c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leGrid">
    <w:name w:val="TableGrid"/>
    <w:rsid w:val="00e658bf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1">
    <w:name w:val="Tabela - Siatka1"/>
    <w:basedOn w:val="Standardowy"/>
    <w:uiPriority w:val="59"/>
    <w:rsid w:val="00ab45f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powietrze.gios.gov.pl/pjp/current" TargetMode="External"/><Relationship Id="rId3" Type="http://schemas.openxmlformats.org/officeDocument/2006/relationships/hyperlink" Target="http://powietrze.gios.gov.pl/pjp/airPollution" TargetMode="External"/><Relationship Id="rId4" Type="http://schemas.openxmlformats.org/officeDocument/2006/relationships/hyperlink" Target="http://powietrze.gios.gov.pl/pjp/warnings" TargetMode="Externa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BF3452-3FE2-49C3-8254-7FC1A801E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Application>LibreOffice/5.4.1.2$Windows_X86_64 LibreOffice_project/ea7cb86e6eeb2bf3a5af73a8f7777ac570321527</Application>
  <Pages>2</Pages>
  <Words>796</Words>
  <Characters>5431</Characters>
  <CharactersWithSpaces>6139</CharactersWithSpaces>
  <Paragraphs>81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2021-01-18T07:16:00Z</dcterms:created>
  <dc:creator>Iwona Witowska</dc:creator>
  <dc:description/>
  <dc:language>pl-PL</dc:language>
  <cp:lastModifiedBy>Marek Grzegorczyk</cp:lastModifiedBy>
  <cp:lastPrinted>2020-11-25T13:01:00Z</cp:lastPrinted>
  <dcterms:modified xsi:type="dcterms:W3CDTF">2021-01-18T07:48:00Z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